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GOLT (Brandenburg) — Rederecht, Wortmeldung und Worterteilung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des Landtages haben Rederecht. Es darf nur nach Maßgabe dieser Geschäftsordnung begrenzt werden.</w:t>
      </w:r>
    </w:p>
    <w:p>
      <w:r>
        <w:t xml:space="preserve">(2) Ein Mitglied des Landtages darf nur sprechen, wenn es sich zu Wort gemeldet hat und ihm das Wort erteilt wurde.</w:t>
      </w:r>
    </w:p>
    <w:p>
      <w:r>
        <w:t xml:space="preserve">(3) Will sich die Präsidentin oder der Präsident an der Aussprache beteiligen, gibt sie oder er für diese Zeit die Sitzungsleitung ab.</w:t>
      </w:r>
    </w:p>
    <w:p>
      <w:r>
        <w:rPr>
          <w:color w:val="555555"/>
          <w:sz w:val="17"/>
        </w:rPr>
        <w:t xml:space="preserve">Zitiervorschlag: § 25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