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GOLT (Brandenburg) — Unterbrechung und vorzeitige Beendigung der Sitzung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Präsidentin oder der Präsident bestimmt, ob die Sitzung unterbrochen wird und wann sie wieder beginnt.</w:t>
      </w:r>
    </w:p>
    <w:p>
      <w:r>
        <w:t xml:space="preserve">(2) Vor Erledigung der Tagesordnung kann die Sitzung nur geschlossen werden, wenn es der Landtag auf Vorschlag der Präsidentin oder des Präsidenten oder auf Antrag beschließt.</w:t>
      </w:r>
    </w:p>
    <w:p>
      <w:r>
        <w:rPr>
          <w:color w:val="555555"/>
          <w:sz w:val="17"/>
        </w:rPr>
        <w:t xml:space="preserve">Zitiervorschlag: § 23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