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 GOLT (Brandenburg) — Eröffnung der Aussprache</w:t>
      </w:r>
    </w:p>
    <w:p>
      <w:r>
        <w:rPr>
          <w:color w:val="555555"/>
          <w:sz w:val="18"/>
        </w:rPr>
        <w:t xml:space="preserve">Geschäftsordnung des Landtages Brandenburg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Präsidentin oder der Präsident ruft jeden Beratungsgegenstand auf und eröffnet die Aussprache. Über Anträge mit Wahlvorschlag findet in Sitzungen des Landtages eine Aussprache nicht statt.</w:t>
      </w:r>
    </w:p>
    <w:p>
      <w:r>
        <w:t xml:space="preserve">(2) Der Landtag kann beschließen, die Beratung eines einzelnen Gegenstandes bis zur nächsten regulären Sitzung zu unterbrechen. Eine erneute Unterbrechung der Beratung ist nur mit Zustimmung der Antragstellerinnen und Antragsteller möglich.</w:t>
      </w:r>
    </w:p>
    <w:p>
      <w:r>
        <w:rPr>
          <w:color w:val="555555"/>
          <w:sz w:val="17"/>
        </w:rPr>
        <w:t xml:space="preserve">Zitiervorschlag: § 21 GOLT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https://recht.nulegal.eu/gesetze/GOLT/21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