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GOLT (Brandenburg) — Konstituierende Sitzung</w:t>
      </w:r>
    </w:p>
    <w:p>
      <w:r>
        <w:rPr>
          <w:color w:val="555555"/>
          <w:sz w:val="18"/>
        </w:rPr>
        <w:t xml:space="preserve">Geschäftsordnung des Landtages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konstituierende Sitzung des Landtages wird bis zur Wahl der Präsidentin oder des Präsidenten von dem ältesten anwesenden Mitglied des Landtages geleitet, das bereit ist, diese Aufgabe zu übernehmen; es überträgt zwei Mitgliedern des Landtages vorläufig die Aufgabe der Schriftführung.</w:t>
      </w:r>
    </w:p>
    <w:p>
      <w:r>
        <w:t xml:space="preserve">(2) Die konstituierende Sitzung beginnt mit dem Namensaufruf der Mitglieder des Landtages.</w:t>
      </w:r>
    </w:p>
    <w:p>
      <w:r>
        <w:rPr>
          <w:color w:val="555555"/>
          <w:sz w:val="17"/>
        </w:rPr>
        <w:t xml:space="preserve">Zitiervorschlag: § 2 GOLT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https://recht.nulegal.eu/gesetze/GOLT/2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