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GOLT (Brandenburg) — Einberufung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Landtag wird durch die Präsidentin oder den Präsidenten einberufen.</w:t>
      </w:r>
    </w:p>
    <w:p>
      <w:r>
        <w:t xml:space="preserve">(2) Der Landtag ist unverzüglich einzuberufen, wenn mindestens ein Fünftel der Mitglieder des Landtages oder die Landesregierung dies unter Angabe des Beratungsgegenstandes entsprechend Anlage 9 §§ 1 bis 3 beantragt.</w:t>
      </w:r>
    </w:p>
    <w:p>
      <w:r>
        <w:rPr>
          <w:color w:val="555555"/>
          <w:sz w:val="17"/>
        </w:rPr>
        <w:t xml:space="preserve">Zitiervorschlag: § 17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https://recht.nulegal.eu/gesetze/GOLT/17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