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103 GOLT (Brandenburg) — Eilverfahren im Präsidium und in den Ausschüssen</w:t>
      </w:r>
    </w:p>
    <w:p>
      <w:r>
        <w:rPr>
          <w:color w:val="555555"/>
          <w:sz w:val="18"/>
        </w:rPr>
        <w:t xml:space="preserve">Geschäftsordnung des Landtages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Bei besonderer Eilbedürftigkeit können Angelegenheiten im Ausnahmefall im Eilverfahren behandelt werden.</w:t>
      </w:r>
    </w:p>
    <w:p>
      <w:r>
        <w:t xml:space="preserve">(2) Jedem Mitglied des Präsidiums oder eines Ausschusses ist dazu einzeln die entsprechende Vorlage gemäß Anlage 9 § 5 zu übermitteln, einschließlich einer Fristsetzung für Rückäußerungen. Die Frist soll mindestens 48 Stunden betragen.</w:t>
      </w:r>
    </w:p>
    <w:p>
      <w:r>
        <w:t xml:space="preserve">(3) Rückäußerungen haben gemäß Anlage 9 § 5 zu erfolgen. Im Falle einer nicht fristgemäßen Rückäußerung gilt dies als Ablehnung.</w:t>
      </w:r>
    </w:p>
    <w:p>
      <w:r>
        <w:t xml:space="preserve">(4) Beantragt ein Mitglied des Präsidiums oder eines Ausschusses Änderungen zu einer Vorlage, gilt die Zustimmung als nicht erteilt.</w:t>
      </w:r>
    </w:p>
    <w:p>
      <w:r>
        <w:t xml:space="preserve">(5) Die Präsidentin oder der Präsident oder die oder der Vorsitzende des Ausschusses informiert über das Ergebnis des Eilverfahrens in der nächsten Sitzung des Präsidiums oder des Ausschusses.</w:t>
      </w:r>
    </w:p>
    <w:p>
      <w:r>
        <w:rPr>
          <w:color w:val="555555"/>
          <w:sz w:val="17"/>
        </w:rPr>
        <w:t xml:space="preserve">Zitiervorschlag: § 103 GOLT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https://recht.nulegal.eu/gesetze/GOLT/103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