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GOLT (Brandenburg) — Einberufung nach der Neuwahl</w:t>
      </w:r>
    </w:p>
    <w:p>
      <w:r>
        <w:rPr>
          <w:color w:val="555555"/>
          <w:sz w:val="18"/>
        </w:rPr>
        <w:t xml:space="preserve">Geschäftsordnung des Landtages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Präsidentin oder der Präsident des bisherigen Landtages beruft die Mitglieder des Landtages zur konstituierenden Sitzung des Landtages ein.</w:t>
      </w:r>
    </w:p>
    <w:p>
      <w:r>
        <w:rPr>
          <w:color w:val="555555"/>
          <w:sz w:val="17"/>
        </w:rPr>
        <w:t xml:space="preserve">Zitiervorschlag: § 1 GOLT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https://recht.nulegal.eu/gesetze/GOLT/1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