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GO (Bayern) — Weitere Aufgaben der kreisfreien Gemeinden und Großen Kreisstädte</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kreisfreie Gemeinde erfüllt im übertragenen Wirkungskreis alle Aufgaben, die sonst vom Landratsamt als der unteren staatlichen Verwaltungsbehörde wahrzunehmen sind; sie ist insoweit Kreisverwaltungsbehörde. Sie erfüllt ferner die den Landkreisen obliegenden Aufgaben des eigenen und des übertragenen Wirkungskreises.</w:t>
      </w:r>
    </w:p>
    <w:p>
      <w:r>
        <w:t xml:space="preserve">(2) Die Große Kreisstadt erfüllt im übertragenen Wirkungskreis Aufgaben, die sonst vom Landratsamt als der unteren staatlichen Verwaltungsbehörde wahrzunehmen sind in dem Umfang, der durch Rechtsverordnung der Staatsregierung allgemein bestimmt wird; sie ist insoweit Kreisverwaltungsbehörde. In der Rechtsverordnung nach Art. 5a Abs. 1 oder in einer Rechtsverordnung des Staatsministeriums des Innern, für Sport und Integration können ihr weitere Aufgaben der unteren staatlichen Verwaltungsbehörde und auf Antrag mit Zustimmung des Kreistags auch einzelne Aufgaben des übertragenen Wirkungskreises der Landkreise übertragen werden.</w:t>
      </w:r>
    </w:p>
    <w:p>
      <w:r>
        <w:rPr>
          <w:color w:val="555555"/>
          <w:sz w:val="17"/>
        </w:rPr>
        <w:t xml:space="preserve">Zitiervorschlag: Art 9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