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GO (Bayern) — Selbständige Kommunalunternehmen des öffentlichen Rechts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kann selbständige Unternehmen in der Rechtsform einer Anstalt des öffentlichen Rechts (Kommunalunternehmen) errichten oder bestehende Regie- und Eigenbetriebe im Weg der Gesamtrechtsnachfolge in Kommunalunternehmen umwandeln. Das Kommunalunternehmen kann sich nach Maßgabe der Unternehmenssatzung und in entsprechender Anwendung der für die Gemeinde geltenden Vorschriften an anderen Unternehmen beteiligen, wenn das dem Unternehmenszweck dient.</w:t>
      </w:r>
    </w:p>
    <w:p>
      <w:r>
        <w:t xml:space="preserve">(2) Die Gemeinde kann dem Kommunalunternehmen einzelne oder alle mit einem bestimmten Zweck zusammenhängende Aufgaben ganz oder teilweise übertragen. Sie kann nach Maßgabe des Art. 24 durch gesonderte Satzung einen Anschluß- und Benutzungszwang zugunsten des Kommunalunternehmens festlegen und das Unternehmen zur Durchsetzung entsprechend Art. 27 ermächtigen. Sie kann ihm auch das Recht einräumen, an ihrer Stelle Satzungen und, soweit Landesrecht zu deren Erlaß ermächtigt, auch Verordnungen für das übertragene Aufgabengebiet zu erlassen; Art. 26 gilt sinngemäß.</w:t>
      </w:r>
    </w:p>
    <w:p>
      <w:r>
        <w:t xml:space="preserve">(2a) Ein Unternehmen in der Rechtsform einer Kapitalgesellschaft, an dem ausschließlich die Gemeinde beteiligt ist, kann durch Formwechsel in ein Kommunalunternehmen umgewandelt werden. Die Umwandlung ist nur zulässig, wenn keine Sonderrechte im Sinn des § 23 des Umwandlungsgesetzes (UmwG) und keine Rechte Dritter an den Anteilen der Gemeinde bestehen. Der Formwechsel setzt den Erlass der Unternehmenssatzung durch die Gemeinde und einen sich darauf beziehenden Formwechselbeschluss der formwechselnden Gesellschaft voraus. Die §§ 193 bis 195, 197 bis 199, 200 Abs. 1 und § 201 UmwG sind entsprechend anzuwenden. Die Anmeldung zum Handelsregister entsprechend § 198 UmwG erfolgt durch das vertretungsberechtigte Organ der Kapitalgesellschaft. Abweichend von Abs. 3 Satz 4 wird die Umwandlung einer Kapitalgesellschaft in ein Kommunalunternehmen mit dessen Eintragung oder, wenn es nicht eingetragen wird, mit der Eintragung der Umwandlung in das Handelsregister wirksam; § 202 Abs. 1 und 3 UmwG ist entsprechend anzuwenden. Ist bei der Kapitalgesellschaft ein Betriebsrat eingerichtet, bleibt dieser nach dem Wirksamwerden der Umwandlung als Personalrat des Kommunalunternehmens bis zu den nächsten regelmäßigen Personalratswahlen bestehen.</w:t>
      </w:r>
    </w:p>
    <w:p>
      <w:r>
        <w:t xml:space="preserve">(2b) Ein Unternehmen in der Rechtsform einer Kapitalgesellschaft, an dem ausschließlich ein Kommunalunternehmen beteiligt ist, kann unter Auflösung ohne Abwicklung sein Vermögen als Ganzes auf das Kommunalunternehmen im Weg der Vollübertragung übertragen. § 176 UmwG ist mit der Maßgabe entsprechend anzuwenden, dass keine Gegenleistung für die Übertragung zu gewähren ist. Bei der entsprechenden Anwendung des § 13 Abs. 1 UmwG muss auf Seiten des Kommunalunternehmens die Gemeinde dem Übertragungsvertrag zustimmen.</w:t>
      </w:r>
    </w:p>
    <w:p>
      <w:r>
        <w:t xml:space="preserve">(3) Die Gemeinde regelt die Rechtsverhältnisse des Kommunalunternehmens durch eine Unternehmenssatzung. Die Unternehmenssatzung muß Bestimmungen über den Namen und die Aufgaben des Unternehmens, die Anzahl der Mitglieder des Vorstands und des Verwaltungsrats und die Höhe des Stammkapitals enthalten. Die Gemeinde hat die Unternehmenssatzung und deren Änderungen gemäß Art. 26 Abs. 2 bekanntzumachen. Das Kommunalunternehmen entsteht am Tag nach der Bekanntmachung, wenn nicht in der Unternehmenssatzung ein späterer Zeitpunkt bestimmt ist.</w:t>
      </w:r>
    </w:p>
    <w:p>
      <w:r>
        <w:t xml:space="preserve">(4) Die Gemeinde haftet für die Verbindlichkeiten des Kommunalunternehmens unbeschränkt, soweit nicht Befriedigung aus dessen Vermögen zu erlangen ist (Gewährträgerschaft).</w:t>
      </w:r>
    </w:p>
    <w:p>
      <w:r>
        <w:rPr>
          <w:color w:val="555555"/>
          <w:sz w:val="17"/>
        </w:rPr>
        <w:t xml:space="preserve">Zitiervorschlag: Art 89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