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86 GO (Bayern) — Rechtsformen</w:t>
      </w:r>
    </w:p>
    <w:p>
      <w:r>
        <w:rPr>
          <w:color w:val="555555"/>
          <w:sz w:val="18"/>
        </w:rPr>
        <w:t xml:space="preserve">Gemeindeordnung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Gemeinde kann Unternehmen außerhalb ihrer allgemeinen Verwaltung in folgenden Rechtsformen betreiben:</w:t>
      </w:r>
    </w:p>
    <w:p>
      <w:r>
        <w:t xml:space="preserve">1. als Eigenbetrieb,</w:t>
      </w:r>
    </w:p>
    <w:p>
      <w:r>
        <w:t xml:space="preserve">2. als selbständiges Kommunalunternehmen des öffentlichen Rechts,</w:t>
      </w:r>
    </w:p>
    <w:p>
      <w:r>
        <w:t xml:space="preserve">3. in den Rechtsformen des Privatrechts.</w:t>
      </w:r>
    </w:p>
    <w:p>
      <w:r>
        <w:rPr>
          <w:color w:val="555555"/>
          <w:sz w:val="17"/>
        </w:rPr>
        <w:t xml:space="preserve">Zitiervorschlag: Art 86 GO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https://recht.nulegal.eu/gesetze/GO/86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