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GO (Bayern) — Ablösung und Aufhebung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Nutzungsrechte können durch Vereinbarung zwischen den Berechtigten und der Gemeinde abgelöst werden. Mit Zustimmung der Mehrheit der Berechtigten können sämtliche Nutzungsrechte von der Gemeinde abgelöst werden; dabei richtet sich das Stimmrecht nach den Anteilen am Gesamtnutzungsrecht. Werden einzelne Nutzungsrechte abgelöst, so gehen sie auf die Gemeinde über; sie kann die Rechte nicht auf Dritte übertragen. Werden sämtliche Nutzungsrechte abgelöst, so gehen sie unter.</w:t>
      </w:r>
    </w:p>
    <w:p>
      <w:r>
        <w:t xml:space="preserve">(2) Nutzungsrechte können auf Antrag der Gemeinde durch die Rechtsaufsichtsbehörde aufgehoben werden, wenn die Gemeinde belastete Grundstücke ganz oder teilweise aus Gründen des Gemeinwohls zur Erfüllung öffentlicher Aufgaben benötigt.</w:t>
      </w:r>
    </w:p>
    <w:p>
      <w:r>
        <w:t xml:space="preserve">(3) Werden Nutzungsrechte von der Gemeinde abgelöst oder von der Rechtsaufsichtsbehörde aufgehoben, so sind die Berechtigten von der Gemeinde angemessen zu entschädigen.</w:t>
      </w:r>
    </w:p>
    <w:p>
      <w:r>
        <w:rPr>
          <w:color w:val="555555"/>
          <w:sz w:val="17"/>
        </w:rPr>
        <w:t xml:space="preserve">Zitiervorschlag: Art 82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