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GO (Bayern) — Lasten und Ausgaben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Nutzungen bezieht, hat die auf dem Gegenstand des Nutzungsrechts ruhenden Lasten zu tragen und die zur Gewinnung der Nutzungen und zur Erhaltung oder zur Erhöhung der Ertragsfähigkeit erforderlichen Ausgaben zu bestreiten. Wird Gemeindevermögen teilweise von der Gemeinde, teilweise von Berechtigten genutzt, so sind diese Lasten und Ausgaben entsprechend zu teilen.</w:t>
      </w:r>
    </w:p>
    <w:p>
      <w:r>
        <w:t xml:space="preserve">(2) Die Berechtigten sind verpflichtet, für die Nutzungen Gegenleistungen an die Gemeinde zu entrichten, soweit dies bisher der Fall war. Die Höhe der Gegenleistungen bemißt sich nach dem Wertverhältnis zwischen Nutzungen und Gegenleistungen am 1. Januar 1938.</w:t>
      </w:r>
    </w:p>
    <w:p>
      <w:r>
        <w:rPr>
          <w:color w:val="555555"/>
          <w:sz w:val="17"/>
        </w:rPr>
        <w:t xml:space="preserve">Zitiervorschlag: Art 81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