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76 GO (Bayern) — Rücklagen, Rückstellungen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Haushaltswirtschaft nach den Grundsätzen der doppelten kommunalen Buchführung hat die Gemeinde ihre stetige Zahlungsfähigkeit sicherzustellen. Überschüsse der Ergebnisrechnung sind den Rücklagen zuzuführen, soweit nicht Fehlbeträge aus Vorjahren auszugleichen sind.</w:t>
      </w:r>
    </w:p>
    <w:p>
      <w:r>
        <w:t xml:space="preserve">(2) Bei Haushaltswirtschaft nach den Grundsätzen der doppelten kommunalen Buchführung sind für ungewisse Verbindlichkeiten und unterlassene Aufwendungen für Instandhaltung Rückstellungen zu bilden.</w:t>
      </w:r>
    </w:p>
    <w:p>
      <w:r>
        <w:t xml:space="preserve">(3) Bei Haushaltswirtschaft nach den Grundsätzen der Kameralistik hat die Gemeinde für Zwecke des Vermögenshaushalts und zur Sicherung der Haushaltswirtschaft Rücklagen in angemessener Höhe zu bilden. Rücklagen für andere Zwecke sind zulässig.</w:t>
      </w:r>
    </w:p>
    <w:p>
      <w:r>
        <w:rPr>
          <w:color w:val="555555"/>
          <w:sz w:val="17"/>
        </w:rPr>
        <w:t xml:space="preserve">Zitiervorschlag: Art 76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