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GO (Bayern) — Kredite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Kredite dürfen unter der Voraussetzung des Art. 62 Abs. 3 nur im Finanzhaushalt beziehungsweise im Vermögenshaushalt und nur für Investitionen, für Investitionsförderungsmaßnahmen und zur Umschuldung aufgenommen werden.</w:t>
      </w:r>
    </w:p>
    <w:p>
      <w:r>
        <w:t xml:space="preserve">(2) Der Gesamtbetrag der vorgesehenen Kreditaufnahmen für Investitionen und Investitionsförderungsmaßnahmen bedarf im Rahmen der Haushaltssatzung der Genehmigung (Gesamtgenehmigung). Die Genehmigung soll unter dem Gesichtspunkt einer geordneten Haushaltswirtschaft erteilt oder versagt werden; sie kann unter Bedingungen und Auflagen erteilt werden. Sie ist in der Regel zu versagen, wenn die Kreditverpflichtungen mit der dauernden Leistungsfähigkeit der Gemeinde nicht im Einklang stehen.</w:t>
      </w:r>
    </w:p>
    <w:p>
      <w:r>
        <w:t xml:space="preserve">(3) Die Kreditermächtigung gilt bis zum Ende des bei ihrem Inkrafttreten laufenden Finanzplanungszeitraums gemäß Art. 70 Abs. 1 und, wenn die Haushaltssatzung für das erste Jahr nach Ende des Finanzplanungszeitraums nicht rechtzeitig amtlich bekannt gemacht wird, bis zum Erlass dieser Haushaltssatzung.</w:t>
      </w:r>
    </w:p>
    <w:p>
      <w:r>
        <w:t xml:space="preserve">(4) Die Aufnahme der einzelnen Kredite bedarf der Genehmigung (Einzelgenehmigung), sobald die Kreditaufnahmen für die Gemeinden nach § 19 des Gesetzes zur Förderung der Stabilität und des Wachstums der Wirtschaft beschränkt worden sind. Die Einzelgenehmigung kann nach Maßgabe der Kreditbeschränkungen versagt werden.</w:t>
      </w:r>
    </w:p>
    <w:p>
      <w:r>
        <w:t xml:space="preserve">(5) Das Staatsministerium des Innern, für Sport und Integration kann im Einvernehmen mit dem Staatsministerium der Finanzen und für Heimat und dem Staatsministerium für Wirtschaft, Landesentwicklung und Energie durch Rechtsverordnung die Aufnahme von Krediten von der Genehmigung (Einzelgenehmigung) abhängig machen, wenn der Konjunkturrat für die öffentliche Hand nach § 18 Abs. 2 des Gesetzes zur Förderung der Stabilität und des Wachstums der Wirtschaft eine Beschränkung der Kreditaufnahme durch die Gemeinden und Gemeindeverbände empfohlen hat. Die Genehmigung ist zu versagen, wenn dies zur Abwehr einer Störung des gesamtwirtschaftlichen Gleichgewichts geboten ist oder wenn die Kreditbedingungen wirtschaftlich nicht vertretbar sind. Solche Rechtsverordnungen sind auf längstens ein Jahr zu befristen.</w:t>
      </w:r>
    </w:p>
    <w:p>
      <w:r>
        <w:t xml:space="preserve">(6) Die Gemeinde darf zur Sicherung des Kredits keine Sicherheiten bestellen. Die Rechtsaufsichtsbehörde kann Ausnahmen zulassen, wenn die Bestellung von Sicherheiten der Verkehrsübung entspricht.</w:t>
      </w:r>
    </w:p>
    <w:p>
      <w:r>
        <w:rPr>
          <w:color w:val="555555"/>
          <w:sz w:val="17"/>
        </w:rPr>
        <w:t xml:space="preserve">Zitiervorschlag: Art 71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