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70 GO (Bayern) — Mittelfristige Finanzplanung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Gemeinde hat ihrer Haushaltswirtschaft eine fünfjährige Finanzplanung zugrundezulegen. Das erste Planungsjahr der Finanzplanung ist das laufende Haushaltsjahr.</w:t>
      </w:r>
    </w:p>
    <w:p>
      <w:r>
        <w:t xml:space="preserve">(2) Als Unterlage für die Finanzplanung ist ein Investitionsprogramm aufzustellen.</w:t>
      </w:r>
    </w:p>
    <w:p>
      <w:r>
        <w:t xml:space="preserve">(3) Im Finanzplan sind Umfang und Zusammensetzung der voraussichtlichen Aufwendungen und Auszahlungen beziehungsweise Ausgaben und die Deckungsmöglichkeiten darzustellen.</w:t>
      </w:r>
    </w:p>
    <w:p>
      <w:r>
        <w:t xml:space="preserve">(4) Der Finanzplan ist dem Gemeinderat spätestens mit dem Entwurf der Haushaltssatzung vorzulegen.</w:t>
      </w:r>
    </w:p>
    <w:p>
      <w:r>
        <w:t xml:space="preserve">(5) Der Finanzplan und das Investitionsprogramm sind jährlich der Entwicklung anzupassen und fortzuführen.</w:t>
      </w:r>
    </w:p>
    <w:p>
      <w:r>
        <w:rPr>
          <w:color w:val="555555"/>
          <w:sz w:val="17"/>
        </w:rPr>
        <w:t xml:space="preserve">Zitiervorschlag: Art 70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https://recht.nulegal.eu/gesetze/GO/70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