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69 GO (Bayern) — Vorläufige Haushaltsführung</w:t>
      </w:r>
    </w:p>
    <w:p>
      <w:r>
        <w:rPr>
          <w:color w:val="555555"/>
          <w:sz w:val="18"/>
        </w:rPr>
        <w:t xml:space="preserve">Gemeindeordnung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Ist die Haushaltssatzung bei Beginn des Haushaltsjahres noch nicht bekanntgemacht, so darf die Gemeinde</w:t>
      </w:r>
    </w:p>
    <w:p>
      <w:r>
        <w:t xml:space="preserve">1. finanzielle Leistungen erbringen, zu denen sie rechtlich verpflichtet ist oder die für die Weiterführung notwendiger Aufgaben unaufschiebbar sind; sie darf insbesondere Bauten, Beschaffungen und sonstige Leistungen des Finanzhaushalts beziehungsweise des Vermögenshaushalts, für die im Haushaltsplan eines Vorjahres Beträge vorgesehen waren, fortsetzen,</w:t>
      </w:r>
    </w:p>
    <w:p>
      <w:r>
        <w:t xml:space="preserve">2. die in der Haushaltssatzung jährlich festzusetzenden Abgaben nach den Sätzen des Vorjahres erheben,</w:t>
      </w:r>
    </w:p>
    <w:p>
      <w:r>
        <w:t xml:space="preserve">3. Kredite umschulden,</w:t>
      </w:r>
    </w:p>
    <w:p>
      <w:r>
        <w:t xml:space="preserve">4. Kassenkredite bis zu dem zuletzt in einer Haushaltssatzung festgesetzten Höchstbetrag oder, wenn besondere Umstände im Einzelfall eine Erhöhung rechtfertigen, auch darüber hinaus aufnehmen.</w:t>
      </w:r>
    </w:p>
    <w:p>
      <w:r>
        <w:t xml:space="preserve">(2) Reichen die Deckungsmittel für die Fortsetzung der Bauten, der Beschaffungen und der sonstigen Leistungen nach Abs. 1 Nr. 1 nicht aus, darf die Gemeinde Kredite für Investitionen und Investitionsförderungsmaßnahmen bis zu einem Viertel des durchschnittlichen Betrags der für die vier Vorjahre festgesetzten Kredite aufnehmen. Eine angemessene Erhöhung dieser Kreditaufnahme ist zulässig, wenn besondere Umstände im Einzelfall die Erhöhung rechtfertigen.</w:t>
      </w:r>
    </w:p>
    <w:p>
      <w:r>
        <w:t xml:space="preserve">(3) Der Stellenplan des Vorjahres gilt weiter, bis die Haushaltssatzung für das neue Jahr erlassen ist.</w:t>
      </w:r>
    </w:p>
    <w:p>
      <w:r>
        <w:t xml:space="preserve">(4) Maßnahmen nach Abs. 1 Nr. 4 Halbsatz 2 und Abs. 2 bedürfen der Genehmigung. Die Gemeinde hat im Antrag darzulegen, wie und bis wann sie den Erlass einer Haushaltssatzung sicherstellen kann. Die Genehmigung darf den Zielen der Wiederherstellung einer geordneten Haushaltswirtschaft und der dauernden Leistungsfähigkeit nicht widersprechen; sie kann unter Bedingungen und Auflagen erteilt werden.</w:t>
      </w:r>
    </w:p>
    <w:p>
      <w:r>
        <w:rPr>
          <w:color w:val="555555"/>
          <w:sz w:val="17"/>
        </w:rPr>
        <w:t xml:space="preserve">Zitiervorschlag: Art 69 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https://recht.nulegal.eu/gesetze/GO/69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