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GO (Bayern) — Erlaß der Haushaltssatzung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beschließt über die Haushaltssatzung samt ihren Anlagen in öffentlicher Sitzung.</w:t>
      </w:r>
    </w:p>
    <w:p>
      <w:r>
        <w:t xml:space="preserve">(2) Die Haushaltssatzung ist mit ihren Anlagen spätestens einen Monat vor Beginn des Haushaltsjahres der Rechtsaufsichtsbehörde vorzulegen.</w:t>
      </w:r>
    </w:p>
    <w:p>
      <w:r>
        <w:t xml:space="preserve">(3) Haushaltssatzungen mit genehmigungspflichtigen Bestandteilen sind sogleich nach der Genehmigung amtlich bekanntzumachen. Haushaltssatzungen ohne solche Bestandteile sind frühestens einen Monat nach der Vorlage an die Rechtsaufsichtsbehörde amtlich bekanntzumachen, sofern nicht die Rechtsaufsichtsbehörde die Satzung beanstandet. Gleichzeitig ist die Haushaltssatzung samt ihren Anlagen bis zur nächsten amtlichen Bekanntmachung einer Haushaltssatzung öffentlich zugänglich zu machen; darauf ist in der amtlichen Bekanntmachung der Haushaltssatzung hinzuweisen.</w:t>
      </w:r>
    </w:p>
    <w:p>
      <w:r>
        <w:rPr>
          <w:color w:val="555555"/>
          <w:sz w:val="17"/>
        </w:rPr>
        <w:t xml:space="preserve">Zitiervorschlag: Art 65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