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59 GO (Bayern) — Zuständigkeit für den Gesetzesvollzug</w:t>
      </w:r>
    </w:p>
    <w:p>
      <w:r>
        <w:rPr>
          <w:color w:val="555555"/>
          <w:sz w:val="18"/>
        </w:rPr>
        <w:t xml:space="preserve">Gemeindeordnung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Vollzug der gesetzlichen Vorschriften im eigenen und im übertragenen Wirkungskreis und die Durchführung der gesetzmäßigen Anordnungen und Weisungen der Staatsbehörden obliegen dem Gemeinderat, in den Fällen des Art. 37 der ersten Bürgermeisterin oder dem ersten Bürgermeister.</w:t>
      </w:r>
    </w:p>
    <w:p>
      <w:r>
        <w:t xml:space="preserve">(2) Hält die erste Bürgermeisterin oder der erste Bürgermeister Entscheidungen des Gemeinderats oder seiner Ausschüsse für rechtswidrig, so hat sie oder er die Entscheidungen zu beanstanden, ihren Vollzug auszusetzen und, soweit erforderlich, die Entscheidung der Rechtsaufsichtsbehörde (Art. 110) herbeizuführen.</w:t>
      </w:r>
    </w:p>
    <w:p>
      <w:r>
        <w:rPr>
          <w:color w:val="555555"/>
          <w:sz w:val="17"/>
        </w:rPr>
        <w:t xml:space="preserve">Zitiervorschlag: Art 59 GO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https://recht.nulegal.eu/gesetze/GO/59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