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GO (Bayern) — Form der Beschlußfassung; Wahlen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Beschlüsse des Gemeinderats werden in offener Abstimmung mit Mehrheit der Abstimmenden gefaßt. Bei Stimmengleichheit ist der Antrag abgelehnt.</w:t>
      </w:r>
    </w:p>
    <w:p>
      <w:r>
        <w:t xml:space="preserve">(2) Kein Mitglied des Gemeinderats darf zu irgendeiner Zeit wegen seiner Abstimmung gerichtlich oder dienstlich verfolgt oder sonst außerhalb des Gemeinderats zur Verantwortung gezogen werden. Die Haftung gegenüber der Gemeinde ist nicht ausgeschlossen, wenn das Abstimmungsverhalten eine vorsätzliche Pflichtverletzung darstellt. Die Verantwortlichkeit nach bundesrechtlichen Vorschriften bleibt unberührt.</w:t>
      </w:r>
    </w:p>
    <w:p>
      <w:r>
        <w:t xml:space="preserve">(3) Wahlen werden in geheimer Abstimmung vorgenommen. Sie sind nur gültig, wenn sämtliche Mitglieder unter Angabe des Gegenstands geladen sind und die Mehrheit von ihnen anwesend und stimmberechtigt ist. Gewählt ist, wer mehr als die Hälfte der abgegebenen gültigen Stimmen erhält. Neinstimmen und leere Stimmzettel sind ungültig. Ist mindestens die Hälfte der abgegebenen Stimmen ungültig, ist die Wahl zu wiederholen. Ist die Mehrheit der abgegebenen Stimmen gültig und erhält weder eine Bewerberin noch ein Bewerber mehr als die Hälfte der abgegebenen gültigen Stimmen, so tritt Stichwahl unter den beiden Personen mit den höchsten Stimmenzahlen ein. Bei Stimmengleichheit in der Stichwahl entscheidet das Los.</w:t>
      </w:r>
    </w:p>
    <w:p>
      <w:r>
        <w:t xml:space="preserve">(4) Absatz 3 gilt für alle Entscheidungen des Gemeinderats, die in diesem Gesetz oder in anderen Rechtsvorschriften als Wahlen bezeichnet werden.</w:t>
      </w:r>
    </w:p>
    <w:p>
      <w:r>
        <w:rPr>
          <w:color w:val="555555"/>
          <w:sz w:val="17"/>
        </w:rPr>
        <w:t xml:space="preserve">Zitiervorschlag: Art 51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