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GO (Bayern) — Geschäftsleitung</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Rahmen der Geschäftsordnung leitet und verteilt die erste Bürgermeisterin oder der erste Bürgermeister die Geschäfte. Über die Verteilung der Geschäfte unter die Gemeinderatsmitglieder beschließt der Gemeinderat.</w:t>
      </w:r>
    </w:p>
    <w:p>
      <w:r>
        <w:t xml:space="preserve">(2) Die erste Bürgermeisterin oder der erste Bürgermeister bereitet die Beratungsgegenstände vor und beruft den Gemeinderat unter Angabe der Tagesordnung mit angemessener Frist ein, erstmals spätestens vier Wochen nach Beginn der Wahlzeit. Der Gemeinderat ist auch einzuberufen, wenn es ein Viertel der ehrenamtlichen Gemeinderatsmitglieder schriftlich oder elektronisch unter Bezeichnung des Beratungsgegenstands verlangt. In diesem Fall hat die Sitzung unverzüglich, spätestens jedoch am 14. Tag nach Eingang des Verlangens, stattzufinden.</w:t>
      </w:r>
    </w:p>
    <w:p>
      <w:r>
        <w:rPr>
          <w:color w:val="555555"/>
          <w:sz w:val="17"/>
        </w:rPr>
        <w:t xml:space="preserve">Zitiervorschlag: Art 46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