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GO (Bayern) — Aufgaben der Ausschüsse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kann vorberatende Ausschüsse bilden.</w:t>
      </w:r>
    </w:p>
    <w:p>
      <w:r>
        <w:t xml:space="preserve">(2) Der Gemeinderat kann die Verwaltung bestimmter Geschäftszweige oder die Erledigung einzelner Angelegenheiten beschließenden Ausschüssen (Gemeindesenaten) übertragen. Auf beschließende Ausschüsse können nicht übertragen werden</w:t>
      </w:r>
    </w:p>
    <w:p>
      <w:r>
        <w:t xml:space="preserve">1. die Beschlußfassung über Angelegenheiten, zu deren Erledigung die Gemeinde der Genehmigung bedarf,</w:t>
      </w:r>
    </w:p>
    <w:p>
      <w:r>
        <w:t xml:space="preserve">2. der Erlaß von Satzungen und Verordnungen, ausgenommen alle Bebauungspläne und alle sonstige Satzungen nach den Vorschriften des Ersten Kapitels des Baugesetzbuchs sowie alle örtlichen Bauvorschriften im Sinn des Art. 81 BayBO, auch in den Fällen des Art. 81 Abs. 2 BayBO,</w:t>
      </w:r>
    </w:p>
    <w:p>
      <w:r>
        <w:t xml:space="preserve">3. die Beschlußfassung über die allgemeine Regelung der Bezüge der Gemeindebediensteten und über beamten-, besoldungs-, versorgungs- und disziplinarrechtliche Angelegenheiten der Bürgermeisterinnen oder Bürgermeister und der berufsmäßigen Gemeinderatsmitglieder, soweit nicht das Kommunal-Wahlbeamten-Gesetz oder das Bayerische Disziplinargesetz etwas anderes bestimmen,</w:t>
      </w:r>
    </w:p>
    <w:p>
      <w:r>
        <w:t xml:space="preserve">4. die Beschlußfassung über die Haushaltssatzung und über die Nachtragshaushaltssatzungen (Art. 65 und 68),</w:t>
      </w:r>
    </w:p>
    <w:p>
      <w:r>
        <w:t xml:space="preserve">5. die Beschlußfassung über den Finanzplan (Art. 70),</w:t>
      </w:r>
    </w:p>
    <w:p>
      <w:r>
        <w:t xml:space="preserve">6. die Feststellung der Jahresrechnung und der Jahresabschlüsse der Eigenbetriebe und der Krankenhäuser mit kaufmännischem Rechnungswesen sowie die Beschlußfassung über die Entlastung (Art. 102),</w:t>
      </w:r>
    </w:p>
    <w:p>
      <w:r>
        <w:t xml:space="preserve">7. Entscheidungen über gemeindliche Unternehmen im Sinn von Art. 96,</w:t>
      </w:r>
    </w:p>
    <w:p>
      <w:r>
        <w:t xml:space="preserve">8. die hinsichtlich der Eigenbetriebe dem Gemeinderat im übrigen vorbehaltenen Angelegenheiten (Art. 88),</w:t>
      </w:r>
    </w:p>
    <w:p>
      <w:r>
        <w:t xml:space="preserve">9. die Bestellung und die Abberufung des Leiters des Rechnungsprüfungsamts sowie seines Stellvertreters,</w:t>
      </w:r>
    </w:p>
    <w:p>
      <w:r>
        <w:t xml:space="preserve">10. die Beschlußfassung über Änderungen von bewohntem Gemeindegebiet.</w:t>
      </w:r>
    </w:p>
    <w:p>
      <w:r>
        <w:t xml:space="preserve">(3) Beschließende Ausschüsse erledigen die ihnen übertragenen Angelegenheiten an Stelle des Gemeinderats, wenn nicht die erste Bürgermeisterin oder der erste Bürgermeister oder ihre Stellvertretung im Ausschuß, ein Drittel der stimmberechtigten Ausschußmitglieder oder ein Viertel der Gemeinderatsmitglieder binnen einer Woche die Nachprüfung durch den Gemeinderat beantragt. Soweit ein Beschluß eines Ausschusses die Rechte Dritter berührt, wird er erst nach Ablauf einer Frist von einer Woche wirksam.</w:t>
      </w:r>
    </w:p>
    <w:p>
      <w:r>
        <w:t xml:space="preserve">(4) Der Gemeinderat kann in der Geschäftsordnung eine Ferienzeit bis zu sechs Wochen bestimmen. Für die Dauer der Ferienzeit ist ein Ferienausschuß nach den für beschließende Ausschüsse geltenden Vorschriften zu bilden, der alle Aufgaben erledigt, für die sonst der Gemeinderat oder ein beschließender Ausschuß zuständig ist; die Absätze 2 und 3 sind nicht anzuwenden. Der Ferienausschuß kann jedoch keine Aufgaben erledigen, die dem Werkausschuß obliegen oder kraft Gesetzes von besonderen Ausschüssen wahrgenommen werden müssen oder nach der Geschäftsordnung nicht vom Ferienausschuß wahrgenommen werden dürfen.</w:t>
      </w:r>
    </w:p>
    <w:p>
      <w:r>
        <w:t xml:space="preserve">(5) Der Gemeinderat kann Ausschüsse jederzeit auflösen.</w:t>
      </w:r>
    </w:p>
    <w:p>
      <w:r>
        <w:rPr>
          <w:color w:val="555555"/>
          <w:sz w:val="17"/>
        </w:rPr>
        <w:t xml:space="preserve">Zitiervorschlag: Art 32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