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GO (Bayern) — Verwaltungsverfügungen; Zwangsmaßnahmen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im eigenen und im übertragenen Wirkungskreis die zur Durchführung von Gesetzen, Rechtsverordnungen und Satzungen notwendigen Verfügungen an bestimmte Personen erlassen und unter Anwendung der gesetzlichen Zwangsmittel vollziehen.</w:t>
      </w:r>
    </w:p>
    <w:p>
      <w:r>
        <w:t xml:space="preserve">(2) Verwaltungsakte, Ladungen oder sonstige Mitteilungen, die auf Grund von Rechtsvorschriften außerhalb dieses Gesetzes amtlich, öffentlich oder ortsüblich bekanntzumachen sind, hat die Gemeinde wie ihre Satzungen bekanntzumachen. Sind Pläne, Karten oder sonstige Nachweise Bestandteil einer Mitteilung nach Satz 1, so kann die Bekanntmachung unbeschadet anderer Vorschriften auch dadurch bewirkt werden, daß die Mitteilung mit den Nachweisen auf die Dauer von zwei Wochen in der Verwaltung der Gemeinde ausgelegt wird; der Gegenstand der Mitteilung sowie Ort und Zeit der Auslegung sind mindestens eine Woche vorher nach Satz 1 bekanntzumachen.</w:t>
      </w:r>
    </w:p>
    <w:p>
      <w:r>
        <w:rPr>
          <w:color w:val="555555"/>
          <w:sz w:val="17"/>
        </w:rPr>
        <w:t xml:space="preserve">Zitiervorschlag: Art 27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