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GO (Bayern) — Inhalt der Satzungen</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den Satzungen können die Gemeinden insbesondere</w:t>
      </w:r>
    </w:p>
    <w:p>
      <w:r>
        <w:t xml:space="preserve">1. die Benutzung ihres Eigentums und ihrer öffentlichen Einrichtungen regeln,</w:t>
      </w:r>
    </w:p>
    <w:p>
      <w:r>
        <w:t xml:space="preserve">2. aus Gründen des öffentlichen Wohls den Anschluß an die Wasserversorgung, die Abwasserbeseitigung, die Abfallentsorgung, die Straßenreinigung und ähnliche der Gesundheit dienende Einrichtungen vorschreiben und vorbehaltlich anderweitiger gesetzlicher Vorschriften die Benutzung dieser Einrichtungen sowie der Bestattungseinrichtungen und von Schlachthöfen zur Pflicht machen,</w:t>
      </w:r>
    </w:p>
    <w:p>
      <w:r>
        <w:t xml:space="preserve">3. für Grundstücke, die einer neuen Bebauung zugeführt werden, und in Sanierungsgebieten den Anschluß an Einrichtungen zur Versorgung mit Fernwärme und deren Benutzung zur Pflicht machen, sofern der Anschluß aus besonderen städtebaulichen Gründen oder zum Schutz vor schädlichen Umwelteinwirkungen im Sinn des Bundes-Immissionsschutzgesetzes notwendig ist; ausgenommen sind Grundstücke mit emissionsfreien Heizeinrichtungen,</w:t>
      </w:r>
    </w:p>
    <w:p>
      <w:r>
        <w:t xml:space="preserve">4. Gemeindedienste (Hand- und Spanndienste) zur Erfüllung gemeindlicher Aufgaben unter angemessener Berücksichtigung der persönlichen Verhältnisse der Pflichtigen anordnen.</w:t>
      </w:r>
    </w:p>
    <w:p>
      <w:r>
        <w:t xml:space="preserve">(2) In den Satzungen kann die Ersatzvornahme auf Kosten säumiger Verpflichteter für zulässig erklärt werden. In den Fällen des Absatzes 1 Nrn. 1 bis 3 können in der Satzung Zuwiderhandlungen als Ordnungswidrigkeiten mit Geldbuße bis zu zweitausendfünfhundert Euro bedroht werden (bewehrte Satzung). In Satzungen nach Absatz 1 Nrn. 2 und 3 kann vorgeschrieben werden, daß Eigentümer das Anbringen und Verlegen örtlicher Leitungen für die Wasserversorgung, die Abwasserbeseitigung und die Versorgung mit Fernwärme auf ihrem Grundstück zu dulden haben, wenn dieses an die Einrichtung angeschlossen oder anzuschließen ist, in wirtschaftlichem Zusammenhang mit der Einrichtung benutzt wird oder wenn die Möglichkeit der Inanspruchnahme der Einrichtung für das Grundstück sonst vorteilhaft ist; die Duldungspflicht entfällt, wenn die Inanspruchnahme des Grundstücks Eigentümer mehr als notwendig oder in unzumutbarer Weise belasten würde.</w:t>
      </w:r>
    </w:p>
    <w:p>
      <w:r>
        <w:t xml:space="preserve">(3) In Satzungen nach Absatz 1 Nrn. 1 bis 3 und in Satzungen, die auf Grund anderer Gesetze, die auf diesen Artikel verweisen, erlassen werden, kann bestimmt werden, daß die von der Gemeinde mit dem Vollzug dieser Satzungen beauftragten Personen berechtigt sind, zur Überwachung der Pflichten, die sich nach diesen Satzungen und Gesetzen ergeben, zu angemessener Tageszeit Grundstücke, Gebäude, Anlagen, Einrichtungen, Wohnungen und Wohnräume im erforderlichen Umfang zu betreten.</w:t>
      </w:r>
    </w:p>
    <w:p>
      <w:r>
        <w:t xml:space="preserve">(4) Ist eine Gemeinde berechtigt, Wasserzähler mit elektronischer Schnittstelle mit oder ohne Einrichtung zur Fernauslesung einzusetzen und zu betreiben, dürfen Daten auch gespeichert und verarbeitet werden, um die Pflichtaufgabe der Wasserversorgung erfüllen und die Betriebssicherheit und Hygiene der Wasserversorgungseinrichtung gewährleisten zu können. Die gespeicherten Daten dürfen ausgelesen und verwendet werden, soweit dies zur Abwehr von Gefahren für den ordnungsgemäßen Betrieb der Wasserversorgungseinrichtung und zur Aufklärung von Störungen im Wasserversorgungsnetz erforderlich ist.</w:t>
      </w:r>
    </w:p>
    <w:p>
      <w:r>
        <w:t xml:space="preserve">(5) Ein Benutzungszwang nach Absatz 1 Nr. 2 und Absatz 2 darf nicht zum Nachteil von Einrichtungen der Kirchen, anerkannter Religionsgemeinschaften oder solcher weltanschaulicher Gemeinschaften verfügt werden, deren Bestrebungen den allgemein geltenden Gesetzen nicht widersprechen. Voraussetzung ist, daß diese Einrichtungen unmittelbar religiösen oder weltanschaulichen Zwecken dienen.</w:t>
      </w:r>
    </w:p>
    <w:p>
      <w:r>
        <w:rPr>
          <w:color w:val="555555"/>
          <w:sz w:val="17"/>
        </w:rPr>
        <w:t xml:space="preserve">Zitiervorschlag: Art 24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