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GO (Bayern) — Mitberatungsrecht (Bürgerversammlung)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jeder Gemeinde hat die erste Bürgermeisterin oder der erste Bürgermeister mindestens einmal jährlich, auf Verlangen des Gemeinderats auch öfter, eine Bürgerversammlung zur Erörterung gemeindlicher Angelegenheiten einzuberufen. In größeren Gemeinden sollen Bürgerversammlungen auf Teile des Gemeindegebiets beschränkt werden.</w:t>
      </w:r>
    </w:p>
    <w:p>
      <w:r>
        <w:t xml:space="preserve">(2) Eine Bürgerversammlung muß innerhalb von drei Monaten stattfinden, wenn das von mindestens 5 v.H., in den Gemeinden mit mehr als 10 000 Einwohnerinnen und Einwohnern von mindestens 2,5 v.H. der Gemeindebürgerinnen und Gemeindebürger unter Angabe der Tagesordnung schriftlich beantragt wird; die Bürgerversammlung kann eine Ergänzung der Tagesordnung beschließen, wenn es spätestens eine Woche vor der Bürgerversammlung bei der Gemeinde schriftlich beantragt wird. Die Tagesordnung darf nur gemeindliche Angelegenheiten zum Gegenstand haben. Die Sätze 1 und 2 gelten entsprechend für Gemeindeteile, die bei Inkrafttreten dieses Gesetzes noch selbständige Gemeinden waren, und in Städten mit mehr als 100 000 Einwohnerinnen und Einwohnern für Stadtbezirke; die Tagesordnungspunkte sollen sich vor allem auf den Gemeindeteil oder Stadtbezirk beziehen. Die Einberufung einer Bürgerversammlung nach den Sätzen 1 und 3 kann nur einmal jährlich beantragt werden.</w:t>
      </w:r>
    </w:p>
    <w:p>
      <w:r>
        <w:t xml:space="preserve">(3) Das Wort können grundsätzlich nur Gemeindeangehörige erhalten. Ausnahmen kann die Bürgerversammlung beschließen; die Vorsitzende oder der Vorsitzende soll einem Vertreter der Aufsichtsbehörde auf Verlangen das Wort erteilen. Den Vorsitz in der Versammlung führt die erste Bürgermeisterin oder der erste Bürgermeister oder ein von ihnen bestellter Vertreter. Stimmberechtigt sind ausschließlich Gemeindebürgerinnen und Gemeindebürger.</w:t>
      </w:r>
    </w:p>
    <w:p>
      <w:r>
        <w:t xml:space="preserve">(4) Die Bürgerversammlung findet in einem der Allgemeinheit zugänglichen Raum statt. Ergänzend kann die Gemeinde durch Satzung oder durch Beschluss des Gemeinderats eine Echtzeitübertragung der Bürgerversammlung in Ton und Bild über das Internet zulassen. Ein Redebeitrag einer teilnehmenden Person darf nur übertragen werden, wenn sie dafür eine Einwilligung erteilt hat. Kameras sind so einzurichten, dass nur die Versammlungsleitung sowie die redenden Personen erfasst werden. Die Gemeinde informiert bei der Einladung zur Bürgerversammlung sowie vor Beginn über eine Echtzeitübertragung nach Satz 2. Die Gemeinden können durch Satzung zulassen, dass Personen nicht persönlich anwesend sein müssen, um sich nach Abs. 3 zu beteiligen, sondern sich dazu auch über das Internet zuschalten können. In der Satzung ist das Nähere zu den Voraussetzungen und zur Ausübung des Äußerungs- und Stimmrechts durch die zugeschalteten Personen zu regeln.</w:t>
      </w:r>
    </w:p>
    <w:p>
      <w:r>
        <w:t xml:space="preserve">(5) Empfehlungen der Bürgerversammlungen müssen innerhalb einer Frist von drei Monaten vom Gemeinderat behandelt werden. Diese Frist und die Frist nach Absatz 2 Satz 1 ruhen während der gemäß Art. 32 Abs. 4 Satz 1 bestimmten Ferienzeit.</w:t>
      </w:r>
    </w:p>
    <w:p>
      <w:r>
        <w:rPr>
          <w:color w:val="555555"/>
          <w:sz w:val="17"/>
        </w:rPr>
        <w:t xml:space="preserve">Zitiervorschlag: Art 18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