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GO (Bayern) — Bekanntmachung; Gebühren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Rechtsverordnungen nach Art. 12 sind, soweit sie vom Landratsamt erlassen werden, gemäß Art. 51 Abs. 1 des Landesstraf- und Verordnungsgesetzes in Verbindung mit Art. 20 Abs. 2 der Landkreisordnung, soweit sie von der Regierung erlassen werden, im Amtsblatt der Regierung bekanntzumachen.</w:t>
      </w:r>
    </w:p>
    <w:p>
      <w:r>
        <w:t xml:space="preserve">(2) Für Änderungen nach Art. 11 und Rechtshandlungen, die aus Anlaß solcher Änderungen erforderlich sind, werden Abgaben nicht erhoben, soweit eine Befreiung landesrechtlich zulässig ist. Auslagen werden nicht ersetzt.</w:t>
      </w:r>
    </w:p>
    <w:p>
      <w:r>
        <w:rPr>
          <w:color w:val="555555"/>
          <w:sz w:val="17"/>
        </w:rPr>
        <w:t xml:space="preserve">Zitiervorschlag: Art 14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