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GO (Bayern) — Weitere Folgen der Änderungen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des Art. 9 Abs. 2 Satz 3 der Bezirksordnung und des Art. 9 Abs. 2 Satz 3 der Landkreisordnung regelt im Fall des Art. 12 Abs. 1 Satz 1 die Regierung, im Übrigen die gemäß Art. 12 Abs. 1 Sätze 2 und 3 zuständige Behörde die mit der Änderung zusammenhängenden weiteren Rechts- und Verwaltungsfragen. Sie kann insbesondere eine Neuwahl oder Ergänzung der gemeindlichen Vertretungsorgane für den Rest der Wahlzeit anordnen. Art. 31 Abs. 2 Satz 4 findet insoweit keine Anwendung. Beträgt der Rest der Wahlzeit weniger als zwei Jahre, so kann die zuständige Behörde bestimmen, daß die Wahlzeit der neu gewählten Vertretungsorgane erst mit Ablauf der folgenden Wahlzeit endet.</w:t>
      </w:r>
    </w:p>
    <w:p>
      <w:r>
        <w:t xml:space="preserve">(2) Die vermögensrechtlichen Verhältnisse werden durch Übereinkunft der beteiligten Gemeinden geregelt. Der Übereinkunft kommt mit dem in ihr bestimmten Zeitpunkt, frühestens jedoch mit Rechtswirksamkeit der Änderung, unmittelbar rechtsbegründende Wirkung zu. Kommt eine Übereinkunft nicht zustande, so entscheiden das Verwaltungsgericht und in der Berufungsinstanz der Verwaltungsgerichtshof als Schiedsgerichte.</w:t>
      </w:r>
    </w:p>
    <w:p>
      <w:r>
        <w:t xml:space="preserve">(3) Soweit der Aufenthalt Voraussetzung für Rechte und Pflichten ist, gilt in den Fällen des Art. 11 der vor der Änderung liegende Aufenthalt im Änderungsgebiet als Aufenthalt in der neuen Gemeinde.</w:t>
      </w:r>
    </w:p>
    <w:p>
      <w:r>
        <w:rPr>
          <w:color w:val="555555"/>
          <w:sz w:val="17"/>
        </w:rPr>
        <w:t xml:space="preserve">Zitiervorschlag: Art 13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