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120 GO (Bayern) — Rechtsverordnungen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des Innern, für Sport und Integration wird ermächtigt, durch Rechtsverordnung zu regeln:</w:t>
      </w:r>
    </w:p>
    <w:p>
      <w:r>
        <w:t xml:space="preserve">1. das Nähere zu kommunalen Namen, Hoheitszeichen sowie Bestands- und Gebietsänderungen nach den Art. 2 bis 4 und 11,</w:t>
      </w:r>
    </w:p>
    <w:p>
      <w:r>
        <w:t xml:space="preserve">2. das Nähere zu amtlichen Bekanntmachungen nach Art. 26 Abs. 2.</w:t>
      </w:r>
    </w:p>
    <w:p>
      <w:r>
        <w:t xml:space="preserve">Das Staatsministerium des Innern, für Sport und Integration wird weiter ermächtigt, im Einvernehmen mit dem Staatsministerium der Finanzen und für Heimat durch Rechtsverordnungen zu regeln:</w:t>
      </w:r>
    </w:p>
    <w:p>
      <w:r>
        <w:t xml:space="preserve">1. den Inhalt und die Gestaltung des Haushaltsplans einschließlich des Stellenplans, der mittelfristigen Finanzplanung und des Investitionsprogramms sowie der Dokumentation der im Finanzplanungszeitraum gültigen Kreditermächtigungen aus den Vorjahren und deren Inanspruchnahmen, ferner die Veranschlagung von Einzahlungen, Auszahlungen, Erträgen und Aufwendungen beziehungsweise Einnahmen, Ausgaben und Verpflichtungsermächtigungen für einen vom Haushaltsjahr abweichenden Wirtschaftszeitraum,</w:t>
      </w:r>
    </w:p>
    <w:p>
      <w:r>
        <w:t xml:space="preserve">2. die Ausführung des Haushaltsplans, die Anordnung von Zahlungen, die Haushaltsüberwachung, die Stundung, die Niederschlagung und den Erlaß von Ansprüchen und die Behandlung von Kleinbeträgen,</w:t>
      </w:r>
    </w:p>
    <w:p>
      <w:r>
        <w:t xml:space="preserve">3. die Ausschreibung von Lieferungen und Leistungen und die Vergabe von Aufträgen,</w:t>
      </w:r>
    </w:p>
    <w:p>
      <w:r>
        <w:t xml:space="preserve">4. die Bildung, vorübergehende Inanspruchnahme und Verwendung von Rücklagen und deren Mindesthöhe,</w:t>
      </w:r>
    </w:p>
    <w:p>
      <w:r>
        <w:t xml:space="preserve">5. die Bildung und Auflösung von Rückstellungen,</w:t>
      </w:r>
    </w:p>
    <w:p>
      <w:r>
        <w:t xml:space="preserve">6. die Geldanlagen und ihre Sicherung,</w:t>
      </w:r>
    </w:p>
    <w:p>
      <w:r>
        <w:t xml:space="preserve">7. die Erfassung, den Nachweis, die Bewertung und die Abschreibung der Vermögensgegenstände; dabei kann die Bewertung und Abschreibung auf einzelne Bereiche beschränkt werden,</w:t>
      </w:r>
    </w:p>
    <w:p>
      <w:r>
        <w:t xml:space="preserve">8. die Aufstellung der Eröffnungsbilanz auch unter Abweichung von Art. 74 Abs. 4 und der folgenden Bilanzen,</w:t>
      </w:r>
    </w:p>
    <w:p>
      <w:r>
        <w:t xml:space="preserve">9. die Kassenanordnungen, die Aufgaben und die Organisation der Gemeindekasse und der Sonderkassen, den Zahlungsverkehr, die Verwaltung der Kassenmittel, der Wertgegenstände und anderer Gegenstände, die Buchführung sowie die Möglichkeit, daß die Buchführung und die Verwahrung von Wertgegenständen von den Kassengeschäften abgetrennt werden können,</w:t>
      </w:r>
    </w:p>
    <w:p>
      <w:r>
        <w:t xml:space="preserve">10. den Inhalt und die Gestaltung der Jahresrechnung und die Abwicklung der Vorjahresergebnisse,</w:t>
      </w:r>
    </w:p>
    <w:p>
      <w:r>
        <w:t xml:space="preserve">11. den Inhalt und die Gestaltung des Jahresabschlusses und des konsolidierten Jahresabschlusses; dabei können auch Ausnahmen von der und Übergangsfristen für die Konsolidierungspflicht vorgesehen werden,</w:t>
      </w:r>
    </w:p>
    <w:p>
      <w:r>
        <w:t xml:space="preserve">12. den Inhalt und die Gestaltung des Rechenschaftsberichts zur Jahresrechnung beziehungsweise zum Jahresabschluss, des Anhangs zum Jahresabschluss sowie des Konsolidierungsberichts zum konsolidierten Jahresabschluss,</w:t>
      </w:r>
    </w:p>
    <w:p>
      <w:r>
        <w:t xml:space="preserve">13. den Aufbau und die Verwaltung, die Wirtschaftsführung, das Rechnungswesen und die Prüfung der Eigenbetriebe,</w:t>
      </w:r>
    </w:p>
    <w:p>
      <w:r>
        <w:t xml:space="preserve">14. die Prüfung der Jahresrechnungen, der Jahresabschlüsse und der konsolidierten Jahresabschlüsse, die Prüfung der Gemeindekasse und der Sonderkassen, die Abschlußprüfung und die Freistellung von der Abschlußprüfung, die Prüfung von Verfahren der automatisierten Datenverarbeitung im Bereich des Finanzwesens der Gemeinden, die Rechte und Pflichten der Prüfer, die über Prüfungen zu erstellenden Berichte und deren weitere Behandlung sowie die Organisation der staatlichen Rechnungsprüfungsstellen der Landratsämter,</w:t>
      </w:r>
    </w:p>
    <w:p>
      <w:r>
        <w:t xml:space="preserve">15. das Verfahren bei der Errichtung der Kommunalunternehmen sowie bei der Umwandlung von Kapitalgesellschaften in Kommunalunternehmen und den Aufbau, die Verwaltung, die Wirtschaftsführung sowie das Rechnungs- und Prüfungswesen der Kommunalunternehmen.</w:t>
      </w:r>
    </w:p>
    <w:p>
      <w:r>
        <w:t xml:space="preserve">Das Staatsministerium des Innern, für Sport und Integration wird weiter ermächtigt, im Einvernehmen mit dem Staatsministerium für Gesundheit, Pflege und Prävention und mit dem Staatsministerium der Finanzen, für Landesentwicklung und für Heimat die Wirtschaftsführung der Krankenhäuser und der Pflegeeinrichtungen der Gemeinden durch Rechtsverordnung zu regeln.</w:t>
      </w:r>
    </w:p>
    <w:p>
      <w:r>
        <w:t xml:space="preserve">(2) Das Staatsministerium des Innern, Sport und Integration erläßt die erforderlichen Verwaltungsvorschriften und gibt Muster, insbesondere für</w:t>
      </w:r>
    </w:p>
    <w:p>
      <w:r>
        <w:t xml:space="preserve">1. die Haushaltssatzung und die Nachtragshaushaltssatzung,</w:t>
      </w:r>
    </w:p>
    <w:p>
      <w:r>
        <w:t xml:space="preserve">2. die Darstellung des Haushaltsplans und des mittelfristigen Finanzplans insbesondere</w:t>
      </w:r>
    </w:p>
    <w:p>
      <w:r>
        <w:t xml:space="preserve">a) die Konten und Produkte bei Haushaltswirtschaft nach den Grundsätzen der doppelten kommunalen Buchführung,</w:t>
      </w:r>
    </w:p>
    <w:p>
      <w:r>
        <w:t xml:space="preserve">b) die Gliederung und die Gruppierung bei Haushaltswirtschaft nach den Grundsätzen der Kameralistik,</w:t>
      </w:r>
    </w:p>
    <w:p>
      <w:r>
        <w:t xml:space="preserve">3. die Form des Haushaltsplans und seiner Anlagen, des mittelfristigen Finanzplans und des Investitionsprogramms sowie der Dokumentation der im Finanzplanungszeitraum gültigen Kreditermächtigungen aus den Vorjahren und deren Inanspruchnahmen,</w:t>
      </w:r>
    </w:p>
    <w:p>
      <w:r>
        <w:t xml:space="preserve">4. die Gliederung und die Form des Jahresabschlusses und des konsolidierten Jahresabschlusses,</w:t>
      </w:r>
    </w:p>
    <w:p>
      <w:r>
        <w:t xml:space="preserve">5. die Darstellung und die Form der Vermögensnachweise,</w:t>
      </w:r>
    </w:p>
    <w:p>
      <w:r>
        <w:t xml:space="preserve">6. die Kassenanordnungen, die Buchführung, die Jahresrechnung und ihre Anlagen,</w:t>
      </w:r>
    </w:p>
    <w:p>
      <w:r>
        <w:t xml:space="preserve">7. die Gliederung und die Form des Wirtschaftsplans und seiner Anlagen, des mittelfristigen Finanzplans und des Investitionsprogramms, des Jahresabschlusses, der Anlagenachweise und der Erfolgsübersicht für Eigenbetriebe und für Krankenhäuser mit kaufmännischem Rechnungswesen,</w:t>
      </w:r>
    </w:p>
    <w:p>
      <w:r>
        <w:t xml:space="preserve">im Bayerischen Ministerialblatt bekannt. Es kann solche Muster für verbindlich erklären. Die Zuordnung der einzelnen Geschäftsvorfälle zu den Darstellungen gemäß Satz 1 Nrn. 2 bis 5 kann durch Verwaltungsvorschrift in gleicher Weise verbindlich festgelegt werden. Die Verwaltungsvorschriften zur Darstellung des Haushaltsplans und des mittelfristigen Finanzplans sind im Einvernehmen mit dem Staatsministerium der Finanzen, für Landesentwicklung und und für Heimat zu erlassen.</w:t>
      </w:r>
    </w:p>
    <w:p>
      <w:r>
        <w:rPr>
          <w:color w:val="555555"/>
          <w:sz w:val="17"/>
        </w:rPr>
        <w:t xml:space="preserve">Zitiervorschlag: Art 120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