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GO (Bayern) — Fachaufsichtsbehörden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zur Führung der Fachaufsicht auf den einzelnen Gebieten des übertragenen Wirkungskreises bestimmt sich nach den hierfür geltenden besonderen Vorschriften. Soweit solche besonderen Vorschriften nicht bestehen, obliegt den Rechtsaufsichtsbehörden auch die Führung der Fachaufsicht.</w:t>
      </w:r>
    </w:p>
    <w:p>
      <w:r>
        <w:t xml:space="preserve">(2) Soweit Große Kreisstädte Aufgaben wahrnehmen, die ihnen nach Art. 9 Abs. 2 übertragen sind, richtet sich die Fachaufsicht nach den für kreisfreie Gemeinden geltenden Vorschriften.</w:t>
      </w:r>
    </w:p>
    <w:p>
      <w:r>
        <w:rPr>
          <w:color w:val="555555"/>
          <w:sz w:val="17"/>
        </w:rPr>
        <w:t xml:space="preserve">Zitiervorschlag: Art 115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