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GO-MEDASV — (zu § 1) Geschäftsordnung des Ausschusses für medizinische Ausstattung in der Seeschifffahrt</w:t>
      </w:r>
    </w:p>
    <w:p>
      <w:r>
        <w:rPr>
          <w:color w:val="555555"/>
          <w:sz w:val="18"/>
        </w:rPr>
        <w:t xml:space="preserve">Verordnung über die Geschäftsordnung des Ausschusses für medizinische Ausstattung in der Seeschifffahrt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(Fundstelle: BGBl. I 2013, 2579 - 2580)</w:t>
      </w:r>
    </w:p>
    <w:p>
      <w:r>
        <w:t xml:space="preserve">(Text der Anlage siehe: GO-MEDAS)</w:t>
      </w:r>
    </w:p>
    <w:p>
      <w:r>
        <w:rPr>
          <w:color w:val="555555"/>
          <w:sz w:val="17"/>
        </w:rPr>
        <w:t xml:space="preserve">Zitiervorschlag: Anlage GO-MEDASV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https://recht.nulegal.eu/gesetze/GO-MEDASV/anlage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