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GO-MEDASV — Geschäftsordnung</w:t>
      </w:r>
    </w:p>
    <w:p>
      <w:r>
        <w:rPr>
          <w:color w:val="555555"/>
          <w:sz w:val="18"/>
        </w:rPr>
        <w:t xml:space="preserve">Verordnung über die Geschäftsordnung des Ausschusses für medizinische Ausstattung in der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Ausschuss für medizinische Ausstattung in der Seeschifffahrt erhält die aus der Anlage ersichtliche Geschäftsordnung.</w:t>
      </w:r>
    </w:p>
    <w:p>
      <w:r>
        <w:rPr>
          <w:color w:val="555555"/>
          <w:sz w:val="17"/>
        </w:rPr>
        <w:t xml:space="preserve">Zitiervorschlag: § 1 GO-MEDASV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https://recht.nulegal.eu/gesetze/GO-MEDASV/1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