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GO-MEDAS — Leitung der Sitzungen</w:t>
      </w:r>
    </w:p>
    <w:p>
      <w:r>
        <w:rPr>
          <w:color w:val="555555"/>
          <w:sz w:val="18"/>
        </w:rPr>
        <w:t xml:space="preserve">Geschäftsordnung des Ausschusses für medizinische Ausstattung in der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Vorsitzende kann zeitweise die Leitung einer Sitzung des Ausschusses an den Vertreter des seeärztlichen Dienstes der Berufsgenossenschaft für Transport und Verkehrswirtschaft (Berufsgenossenschaft) übertragen; ausgenommen davon sind Abstimmungen.</w:t>
      </w:r>
    </w:p>
    <w:p>
      <w:r>
        <w:rPr>
          <w:color w:val="555555"/>
          <w:sz w:val="17"/>
        </w:rPr>
        <w:t xml:space="preserve">Zitiervorschlag: § 3 GO-MEDAS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https://recht.nulegal.eu/gesetze/GO-MEDAS/3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