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GOÄ 1982 — Abweichende Vereinbarung</w:t>
      </w:r>
    </w:p>
    <w:p>
      <w:r>
        <w:rPr>
          <w:color w:val="555555"/>
          <w:sz w:val="18"/>
        </w:rPr>
        <w:t xml:space="preserve">Gebührenordnung für Ärzte</w:t>
      </w:r>
    </w:p>
    <w:p>
      <w:r>
        <w:rPr>
          <w:color w:val="555555"/>
          <w:sz w:val="18"/>
        </w:rPr>
        <w:t xml:space="preserve">Stand: 10.06.2019 (konsolidierte Textfassung, kein amtliches Inkrafttretensdatum)</w:t>
      </w:r>
    </w:p>
    <w:p>
      <w:r>
        <w:t xml:space="preserve">(1) Durch Vereinbarung kann eine von dieser Verordnung abweichende Gebührenhöhe festgelegt werden. Für Leistungen nach § 5a ist eine Vereinbarung nach Satz 1 ausgeschlossen. Die Vereinbarung einer abweichenden Punktzahl (§ 5 Abs. 1 Satz 2) oder eines abweichenden Punktwerts (§ 5 Abs. 1 Satz 3) ist nicht zulässig. Notfall- und akute Schmerzbehandlungen dürfen nicht von einer Vereinbarung nach Satz 1 abhängig gemacht werden.</w:t>
      </w:r>
    </w:p>
    <w:p>
      <w:r>
        <w:t xml:space="preserve">(2) Eine Vereinbarung nach Absatz 1 Satz 1 ist nach persönlicher Absprache im Einzelfall zwischen Arzt und Zahlungspflichtigem vor Erbringung der Leistung des Arztes in einem Schriftstück zu treffen. Dieses muß neben der Nummer und der Bezeichnung der Leistung, dem Steigerungssatz und dem vereinbarten Betrag auch die Feststellung enthalten, daß eine Erstattung der Vergütung durch Erstattungsstellen möglicherweise nicht in vollem Umfang gewährleistet ist. Weitere Erklärungen darf die Vereinbarung nicht enthalten. Der Arzt hat dem Zahlungspflichtigen einen Abdruck der Vereinbarung auszuhändigen.</w:t>
      </w:r>
    </w:p>
    <w:p>
      <w:r>
        <w:t xml:space="preserve">(3) Für Leistungen nach den Abschnitten A, E, M und O ist eine Vereinbarung nach Absatz 1 Satz 1 unzulässig. Im übrigen ist bei vollstationären, teilstationären sowie vor- und nachstationären wahlärztlichen Leistungen eine Vereinbarung nach Absatz 1 Satz 1 nur für vom Wahlarzt höchstpersönlich erbrachte Leistungen zulässig.</w:t>
      </w:r>
    </w:p>
    <w:p>
      <w:r>
        <w:rPr>
          <w:color w:val="555555"/>
          <w:sz w:val="17"/>
        </w:rPr>
        <w:t xml:space="preserve">Zitiervorschlag: § 2 GOÄ 1982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https://recht.nulegal.eu/gesetze/GO%C3%84%201982/2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GOÄ 1982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