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GNotKG — Miet-, Pacht- und Dienstverträge</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Der Geschäftswert bei der Beurkundung eines Miet- oder Pachtvertrags ist der Wert aller Leistungen des Mieters oder Pächters während der gesamten Vertragszeit. Bei Miet- oder Pachtverträgen von unbestimmter Vertragsdauer ist der auf die ersten fünf Jahre entfallende Wert der Leistungen maßgebend; ist jedoch die Auflösung des Vertrags erst zu einem späteren Zeitpunkt zulässig, ist dieser maßgebend. In keinem Fall darf der Geschäftswert den auf die ersten 20 Jahre entfallenden Wert übersteigen.</w:t>
      </w:r>
    </w:p>
    <w:p>
      <w:r>
        <w:t xml:space="preserve">(2) Der Geschäftswert bei der Beurkundung eines Dienstvertrags, eines Geschäftsbesorgungsvertrags oder eines ähnlichen Vertrags ist der Wert aller Bezüge des zur Dienstleistung oder Geschäftsbesorgung Verpflichteten während der gesamten Vertragszeit, höchstens jedoch der Wert der auf die ersten fünf Jahre entfallenden Bezüge.</w:t>
      </w:r>
    </w:p>
    <w:p>
      <w:r>
        <w:rPr>
          <w:color w:val="555555"/>
          <w:sz w:val="17"/>
        </w:rPr>
        <w:t xml:space="preserve">Zitiervorschlag: § 99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