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GNotKG — Verträge und Erklärungen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Der Geschäftswert bei der Beurkundung von Verträgen und Erklärungen bestimmt sich nach dem Wert des Rechtsverhältnisses, das Beurkundungsgegenstand ist.</w:t>
      </w:r>
    </w:p>
    <w:p>
      <w:r>
        <w:t xml:space="preserve">(2) Handelt es sich um Veränderungen eines Rechtsverhältnisses, so darf der Wert des von der Veränderung betroffenen Rechtsverhältnisses nicht überschritten werden, und zwar auch dann nicht, wenn es sich um mehrere Veränderungen desselben Rechtsverhältnisses handelt.</w:t>
      </w:r>
    </w:p>
    <w:p>
      <w:r>
        <w:t xml:space="preserve">(3) Bei Verträgen, die den Austausch von Leistungen zum Gegenstand haben, ist nur der Wert der Leistungen des einen Teils maßgebend; wenn der Wert der Leistungen verschieden ist, ist der höhere maßgebend.</w:t>
      </w:r>
    </w:p>
    <w:p>
      <w:r>
        <w:rPr>
          <w:color w:val="555555"/>
          <w:sz w:val="17"/>
        </w:rPr>
        <w:t xml:space="preserve">Zitiervorschlag: § 97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