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GNotKG — Verschiedene Gebührensätze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Sind für die einzelnen Beurkundungsgegenstände oder für Teile davon verschiedene Gebührensätze anzuwenden, entstehen insoweit gesondert berechnete Gebühren, jedoch nicht mehr als die nach dem höchsten Gebührensatz berechnete Gebühr aus dem Gesamtbetrag der Werte.</w:t>
      </w:r>
    </w:p>
    <w:p>
      <w:r>
        <w:t xml:space="preserve">(2) Soweit mehrere Beurkundungsgegenstände als ein Gegenstand zu behandeln sind (§ 109), wird die Gebühr nach dem höchsten in Betracht kommenden Gebührensatz berechnet. Sie beträgt jedoch nicht mehr als die Summe der Gebühren, die bei getrennter Beurkundung entstanden wären.</w:t>
      </w:r>
    </w:p>
    <w:p>
      <w:r>
        <w:rPr>
          <w:color w:val="555555"/>
          <w:sz w:val="17"/>
        </w:rPr>
        <w:t xml:space="preserve">Zitiervorschlag: § 94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