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GNotKG — Einmalige Erhebung der Gebühren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Die Gebühr für ein Verfahren sowie die Vollzugs- und die Betreuungsgebühr werden in demselben notariellen Verfahren jeweils nur einmal erhoben. Die Vollzugs- und die Betreuungsgebühr werden bei der Fertigung eines Entwurfs jeweils nur einmal erhoben.</w:t>
      </w:r>
    </w:p>
    <w:p>
      <w:r>
        <w:t xml:space="preserve">(2) Werden in einem Beurkundungsverfahren ohne sachlichen Grund mehrere Beurkundungsgegenstände zusammengefasst, gilt das Beurkundungsverfahren hinsichtlich jedes dieser Beurkundungsgegenstände als besonderes Verfahren. Ein sachlicher Grund ist insbesondere anzunehmen, wenn hinsichtlich jedes Beurkundungsgegenstands die gleichen Personen an dem Verfahren beteiligt sind oder der rechtliche Verknüpfungswille in der Urkunde zum Ausdruck kommt.</w:t>
      </w:r>
    </w:p>
    <w:p>
      <w:r>
        <w:rPr>
          <w:color w:val="555555"/>
          <w:sz w:val="17"/>
        </w:rPr>
        <w:t xml:space="preserve">Zitiervorschlag: § 93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