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GNotKG — Zurückzahlung, Schadensersatz</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Wird die Kostenberechnung abgeändert oder ist der endgültige Kostenbetrag geringer als der erhobene Vorschuss, so hat der Notar die zu viel empfangenen Beträge zu erstatten. Hatte der Kostenschuldner einen Antrag auf Entscheidung des Landgerichts nach § 127 Absatz 1 innerhalb eines Monats nach der Zustellung der vollstreckbaren Ausfertigung gestellt, so hat der Notar darüber hinaus den Schaden zu ersetzen, der dem Kostenschuldner durch die Vollstreckung oder durch eine zur Abwendung der Vollstreckung erbrachte Leistung entstanden ist. Im Fall des Satzes 2 hat der Notar den zu viel empfangenen Betrag vom Tag des Antragseingangs bei dem Landgericht an mit jährlich fünf Prozentpunkten über dem Basiszinssatz nach § 247 des Bürgerlichen Gesetzbuchs zu verzinsen; die Geltendmachung eines weitergehenden Schadens ist nicht ausgeschlossen. Im Übrigen kann der Kostenschuldner eine Verzinsung des zu viel gezahlten Betrags nicht fordern.</w:t>
      </w:r>
    </w:p>
    <w:p>
      <w:r>
        <w:t xml:space="preserve">(2) Über die Verpflichtungen gemäß Absatz 1 wird auf Antrag des Kostenschuldners in dem Verfahren nach § 127 entschieden. Die Entscheidung ist nach den Vorschriften der Zivilprozessordnung vollstreckbar.</w:t>
      </w:r>
    </w:p>
    <w:p>
      <w:r>
        <w:rPr>
          <w:color w:val="555555"/>
          <w:sz w:val="17"/>
        </w:rPr>
        <w:t xml:space="preserve">Zitiervorschlag: § 90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