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87 GNotKG — Sprechtage außerhalb der Geschäftsstelle</w:t>
      </w:r>
    </w:p>
    <w:p>
      <w:r>
        <w:rPr>
          <w:color w:val="555555"/>
          <w:sz w:val="18"/>
        </w:rPr>
        <w:t xml:space="preserve">Gerichts- und Notarkostengesetz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Hält ein Notar außerhalb seiner Geschäftsstelle regelmäßige Sprechtage ab, so gilt dieser Ort als Amtssitz im Sinne dieses Gesetzes.</w:t>
      </w:r>
    </w:p>
    <w:p>
      <w:r>
        <w:rPr>
          <w:color w:val="555555"/>
          <w:sz w:val="17"/>
        </w:rPr>
        <w:t xml:space="preserve">Zitiervorschlag: § 87 GNotKG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https://recht.nulegal.eu/gesetze/GNotKG/87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