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86 GNotKG — Beurkundungsgegenstand</w:t>
      </w:r>
    </w:p>
    <w:p>
      <w:r>
        <w:rPr>
          <w:color w:val="555555"/>
          <w:sz w:val="18"/>
        </w:rPr>
        <w:t xml:space="preserve">Gerichts- und Notarkostengesetz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Beurkundungsgegenstand ist das Rechtsverhältnis, auf das sich die Erklärungen beziehen, bei Tatsachenbeurkundungen die beurkundete Tatsache oder der beurkundete Vorgang.</w:t>
      </w:r>
    </w:p>
    <w:p>
      <w:r>
        <w:t xml:space="preserve">(2) Mehrere Rechtsverhältnisse, Tatsachen oder Vorgänge sind verschiedene Beurkundungsgegenstände, soweit in § 109 nichts anderes bestimmt ist.</w:t>
      </w:r>
    </w:p>
    <w:p>
      <w:r>
        <w:rPr>
          <w:color w:val="555555"/>
          <w:sz w:val="17"/>
        </w:rPr>
        <w:t xml:space="preserve">Zitiervorschlag: § 86 GNotKG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https://recht.nulegal.eu/gesetze/GNotKG/86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