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GNotKG — Abhilfe bei Verletzung des Anspruchs auf rechtliches Gehör</w:t>
      </w:r>
    </w:p>
    <w:p>
      <w:r>
        <w:rPr>
          <w:color w:val="555555"/>
          <w:sz w:val="18"/>
        </w:rPr>
        <w:t xml:space="preserve">Gerichts- und Notarkostengesetz</w:t>
      </w:r>
    </w:p>
    <w:p>
      <w:r>
        <w:rPr>
          <w:color w:val="555555"/>
          <w:sz w:val="18"/>
        </w:rPr>
        <w:t xml:space="preserve">Stand: 01.01.2025 (konsolidierte Textfassung, kein amtliches Inkrafttretensdatum)</w:t>
      </w:r>
    </w:p>
    <w:p>
      <w:r>
        <w:t xml:space="preserve">(1) Auf die Rüge eines durch die Entscheidung nach diesem Gesetz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(2) Die Rüge ist innerhalb von zwei Wochen nach Kenntnis von der Verletzung des rechtlichen Gehörs zu erheben; der Zeitpunkt der Kenntniserlangung ist glaubhaft zu machen. Nach Ablauf eines Jahres seit Bekanntmachung der angegriffenen Entscheidung kann die Rüge nicht mehr erhoben werden. Formlos mitgeteilte Entscheidungen gelten mit dem vierten Tag nach Aufgabe zur Post als bekannt gemacht. Die Rüge ist bei dem Gericht zu erheben, dessen Entscheidung angegriffen wird; § 81 Absatz 5 Satz 1 und 2 gilt entsprechend. Die Rüge muss die angegriffene Entscheidung bezeichnen und das Vorliegen der in Absatz 1 Nummer 2 genannten Voraussetzungen darlegen.</w:t>
      </w:r>
    </w:p>
    <w:p>
      <w:r>
        <w:t xml:space="preserve">(3) Den übrigen Beteiligten ist, soweit erforderlich, Gelegenheit zur Stellungnahme zu geben.</w:t>
      </w:r>
    </w:p>
    <w:p>
      <w:r>
        <w:t xml:space="preserve">(4) Das Gericht hat von Amts wegen zu prüfen, ob die Rüge an sich statthaft ist und ob sie in der gesetzlichen Form und Frist erhoben ist. Mangelt es an einem dieser Erfordernisse, so ist die Rüge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w:t>
      </w:r>
    </w:p>
    <w:p>
      <w:r>
        <w:t xml:space="preserve">(6) Kosten werden nicht erstattet.</w:t>
      </w:r>
    </w:p>
    <w:p>
      <w:r>
        <w:rPr>
          <w:color w:val="555555"/>
          <w:sz w:val="17"/>
        </w:rPr>
        <w:t xml:space="preserve">Zitiervorschlag: § 84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