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76 GNotKG — Bestimmte Verfahren vor dem Landwirtschaftsgericht</w:t>
      </w:r>
    </w:p>
    <w:p>
      <w:r>
        <w:rPr>
          <w:color w:val="555555"/>
          <w:sz w:val="18"/>
        </w:rPr>
        <w:t xml:space="preserve">Gerichts- und Notarkostengesetz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Geschäftswert ist</w:t>
      </w:r>
    </w:p>
    <w:p>
      <w:pPr>
        <w:ind w:left="420"/>
      </w:pPr>
      <w:r>
        <w:t xml:space="preserve">1. in Feststellungsverfahren nach § 11 Absatz 1 Buchstabe g der Verfahrensordnung für Höfesachen der Wert des Hofs nach Abzug der Verbindlichkeiten,</w:t>
      </w:r>
    </w:p>
    <w:p>
      <w:pPr>
        <w:ind w:left="420"/>
      </w:pPr>
      <w:r>
        <w:t xml:space="preserve">2. in Wahlverfahren (§ 9 Absatz 2 Satz 1 der Höfeordnung) der Wert des gewählten Hofs nach Abzug der Verbindlichkeiten,</w:t>
      </w:r>
    </w:p>
    <w:p>
      <w:pPr>
        <w:ind w:left="420"/>
      </w:pPr>
      <w:r>
        <w:t xml:space="preserve">3. in Fristsetzungsverfahren (§ 9 Absatz 2 Satz 2 der Höfeordnung) die Hälfte des Werts des wertvollsten der noch zur Wahl stehenden Höfe nach Abzug der Verbindlichkeiten,</w:t>
      </w:r>
    </w:p>
    <w:p>
      <w:pPr>
        <w:ind w:left="420"/>
      </w:pPr>
      <w:r>
        <w:t xml:space="preserve">4. in gerichtlichen Verfahren aufgrund der Vorschriften über Einwendungen gegen das siedlungsrechtliche Vorkaufsrecht (§ 1 Nummer 3 des Gesetzes über das gerichtliche Verfahren in Landwirtschaftssachen) der Geschäftswert des zugrunde liegenden Kaufvertrags.</w:t>
      </w:r>
    </w:p>
    <w:p>
      <w:r>
        <w:rPr>
          <w:color w:val="555555"/>
          <w:sz w:val="17"/>
        </w:rPr>
        <w:t xml:space="preserve">Zitiervorschlag: § 76 GNotKG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https://recht.nulegal.eu/gesetze/GNotKG/76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