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GNotKG — Gerichtliche Entscheidung über die abschließenden Feststellungen der Sonderprüfer</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Den Geschäftswert im gerichtlichen Verfahren über die abschließenden Feststellungen der Sonderprüfer nach § 259 Absatz 2 und 3 des Aktiengesetzes bestimmt das Gericht unter Berücksichtigung aller Umstände des einzelnen Falles nach billigem Ermessen, insbesondere unter Berücksichtigung der Bedeutung der Sache für die Parteien. Er darf jedoch ein Zehntel des Grundkapitals oder, wenn dieses Zehntel mehr als 500 000 Euro beträgt, 500 000 Euro nur insoweit übersteigen, als die Bedeutung der Sache für den Kläger höher zu bewerten ist.</w:t>
      </w:r>
    </w:p>
    <w:p>
      <w:r>
        <w:t xml:space="preserve">(2) Die Vorschriften über die Anordnung der Streitwertbegünstigung (§ 260 Absatz 4 Satz 2 in Verbindung mit § 247 Absatz 2 und 3 des Aktiengesetzes) sind anzuwenden.</w:t>
      </w:r>
    </w:p>
    <w:p>
      <w:r>
        <w:rPr>
          <w:color w:val="555555"/>
          <w:sz w:val="17"/>
        </w:rPr>
        <w:t xml:space="preserve">Zitiervorschlag: § 72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