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GNotKG — Nachträgliche Erteilung eines Hypotheken-, Grundschuld- oder Rentenschuldbriefs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nachträglichen Erteilung eines Hypotheken-, Grundschuld- oder Rentenschuldbriefs ist Geschäftswert der für die Eintragung des Rechts maßgebende Wert.</w:t>
      </w:r>
    </w:p>
    <w:p>
      <w:r>
        <w:t xml:space="preserve">(2) Für die nachträgliche Gesamtbrieferteilung gilt § 44 Absatz 1 entsprechend.</w:t>
      </w:r>
    </w:p>
    <w:p>
      <w:r>
        <w:rPr>
          <w:color w:val="555555"/>
          <w:sz w:val="17"/>
        </w:rPr>
        <w:t xml:space="preserve">Zitiervorschlag: § 71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