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GNotKG — Nachlasspflegschaften und Gesamtgutsverwaltung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Geschäftswert für eine Nachlassverwaltung, eine Gesamtgutsverwaltung oder eine sonstige Nachlasspflegschaft ist der Wert des von der Verwaltung betroffenen Vermögens.</w:t>
      </w:r>
    </w:p>
    <w:p>
      <w:r>
        <w:t xml:space="preserve">(2) Ist der Antrag auf Anordnung einer Nachlasspflegschaft oder -verwaltung oder einer Gesamtgutsverwaltung von einem Gläubiger gestellt, so ist Geschäftswert der Betrag der Forderung, höchstens jedoch der sich nach Absatz 1 ergebende Betrag.</w:t>
      </w:r>
    </w:p>
    <w:p>
      <w:r>
        <w:rPr>
          <w:color w:val="555555"/>
          <w:sz w:val="17"/>
        </w:rPr>
        <w:t xml:space="preserve">Zitiervorschlag: § 64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