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GNotKG — Rechtsmittelverfahren</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(1) Im Rechtsmittelverfahren bestimmt sich der Geschäftswert nach den Anträgen des Rechtsmittelführers. Endet das Verfahren, ohne dass solche Anträge eingereicht werden, oder werden bei einer Rechtsbeschwerde innerhalb der Frist für die Begründung Anträge nicht eingereicht, ist die Beschwer maßgebend.</w:t>
      </w:r>
    </w:p>
    <w:p>
      <w:r>
        <w:t xml:space="preserve">(2) Der Wert ist durch den Geschäftswert des ersten Rechtszugs begrenzt. Dies gilt nicht, soweit der Gegenstand erweitert wird.</w:t>
      </w:r>
    </w:p>
    <w:p>
      <w:r>
        <w:t xml:space="preserve">(3) Im Verfahren über den Antrag auf Zulassung der Sprungrechtsbeschwerde ist Gegenstandswert der für das Rechtsmittelverfahren maßgebende Wert.</w:t>
      </w:r>
    </w:p>
    <w:p>
      <w:r>
        <w:rPr>
          <w:color w:val="555555"/>
          <w:sz w:val="17"/>
        </w:rPr>
        <w:t xml:space="preserve">Zitiervorschlag: § 61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