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GNotKG — Eintragungen in das Handels-, Genossenschafts-, Gesellschafts- oder Partnerschaftsregister; Verordnungsermächtigung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Gebühren werden nur aufgrund einer Rechtsverordnung (Handelsregistergebührenverordnung) erhoben für</w:t>
      </w:r>
    </w:p>
    <w:p>
      <w:pPr>
        <w:ind w:left="420"/>
      </w:pPr>
      <w:r>
        <w:t xml:space="preserve">1. Eintragungen in das Handels-, Genossenschafts-, Gesellschafts- oder Partnerschaftsregister,</w:t>
      </w:r>
    </w:p>
    <w:p>
      <w:pPr>
        <w:ind w:left="420"/>
      </w:pPr>
      <w:r>
        <w:t xml:space="preserve">2. Fälle der Zurücknahme oder Zurückweisung von Anmeldungen zu diesen Registern,</w:t>
      </w:r>
    </w:p>
    <w:p>
      <w:pPr>
        <w:ind w:left="420"/>
      </w:pPr>
      <w:r>
        <w:t xml:space="preserve">3. die Entgegennahme, Prüfung und Aufbewahrung der zum Handels- oder Genossenschaftsregister einzureichenden Unterlagen,</w:t>
      </w:r>
    </w:p>
    <w:p>
      <w:pPr>
        <w:ind w:left="420"/>
      </w:pPr>
      <w:r>
        <w:t xml:space="preserve">4. die Übertragung von Schriftstücken in ein elektronisches Dokument nach § 9 Absatz 2 des Handelsgesetzbuchs sowie</w:t>
      </w:r>
    </w:p>
    <w:p>
      <w:pPr>
        <w:ind w:left="420"/>
      </w:pPr>
      <w:r>
        <w:t xml:space="preserve">5. die Bereitstellung von Registerdaten sowie von Dokumenten, die zum Register eingereicht wurden, zum Abruf.</w:t>
      </w:r>
    </w:p>
    <w:p>
      <w:r>
        <w:t xml:space="preserve">Keine Gebühren werden erhoben für die aus Anlass eines Insolvenzverfahrens von Amts wegen vorzunehmenden Eintragungen und für Löschungen nach § 395 des Gesetzes über das Verfahren in Familiensachen und in den Angelegenheiten der freiwilligen Gerichtsbarkeit.</w:t>
      </w:r>
    </w:p>
    <w:p>
      <w:r>
        <w:t xml:space="preserve">(2) Die Rechtsverordnung nach Absatz 1 erlässt das Bundesministerium der Justiz. Sie bedarf der Zustimmung des Bundesrates. Die Höhe der Gebühren richtet sich nach den auf die Amtshandlungen entfallenden durchschnittlichen Personal- und Sachkosten; Gebühren für Fälle der Zurücknahme oder Zurückweisung von Anmeldungen können jedoch bestimmt werden, indem die für die entsprechenden Eintragungen zu erhebenden Gebühren pauschal mit Ab- oder Zuschlägen versehen werden. Die auf gebührenfreie Eintragungen entfallenden Personal- und Sachkosten können bei der Höhe der für andere Eintragungen festgesetzten Gebühren berücksichtigt werden.</w:t>
      </w:r>
    </w:p>
    <w:p>
      <w:r>
        <w:rPr>
          <w:color w:val="555555"/>
          <w:sz w:val="17"/>
        </w:rPr>
        <w:t xml:space="preserve">Zitiervorschlag: § 58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