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GNotKG — Zurückverweisung, Abänderung oder Aufhebung einer Entscheidung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eine Sache an ein Gericht eines unteren Rechtszugs zurückverwiesen, bildet das weitere Verfahren mit dem früheren Verfahren vor diesem Gericht einen Rechtszug im Sinne des § 55.</w:t>
      </w:r>
    </w:p>
    <w:p>
      <w:r>
        <w:t xml:space="preserve">(2) Das Verfahren über eine Abänderung oder Aufhebung einer Entscheidung gilt als besonderes Verfahren, soweit im Kostenverzeichnis nichts anderes bestimmt ist.</w:t>
      </w:r>
    </w:p>
    <w:p>
      <w:r>
        <w:rPr>
          <w:color w:val="555555"/>
          <w:sz w:val="17"/>
        </w:rPr>
        <w:t xml:space="preserve">Zitiervorschlag: § 57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