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GNotKG — Teile des Verfahrensgegenstands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Handlungen, die einen Teil des Verfahrensgegenstands betreffen, sind die Gebühren nur nach dem Wert dieses Teils zu berechnen.</w:t>
      </w:r>
    </w:p>
    <w:p>
      <w:r>
        <w:t xml:space="preserve">(2) Sind von einzelnen Wertteilen in demselben Rechtszug für gleiche Handlungen Gebühren zu berechnen, darf nicht mehr erhoben werden, als wenn die Gebühr nach dem Gesamtbetrag der Wertteile zu berechnen wäre.</w:t>
      </w:r>
    </w:p>
    <w:p>
      <w:r>
        <w:t xml:space="preserve">(3) Sind für Teile des Verfahrensgegenstands verschiedene Gebührensätze anzuwenden, sind die Gebühren für die Teile gesondert zu berechnen; die aus dem Gesamtbetrag der Wertteile nach dem höchsten Gebührensatz berechnete Gebühr darf jedoch nicht überschritten werden.</w:t>
      </w:r>
    </w:p>
    <w:p>
      <w:r>
        <w:rPr>
          <w:color w:val="555555"/>
          <w:sz w:val="17"/>
        </w:rPr>
        <w:t xml:space="preserve">Zitiervorschlag: § 56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