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GNotKG — Einmalige Erhebung der Gebühren</w:t>
      </w:r>
    </w:p>
    <w:p>
      <w:r>
        <w:rPr>
          <w:color w:val="555555"/>
          <w:sz w:val="18"/>
        </w:rPr>
        <w:t xml:space="preserve">Gerichts- und Notarkostengesetz</w:t>
      </w:r>
    </w:p>
    <w:p>
      <w:r>
        <w:rPr>
          <w:color w:val="555555"/>
          <w:sz w:val="18"/>
        </w:rPr>
        <w:t xml:space="preserve">Stand: 01.01.2023 (konsolidierte Textfassung, kein amtliches Inkrafttretensdatum)</w:t>
      </w:r>
    </w:p>
    <w:p>
      <w:r>
        <w:t xml:space="preserve">(1) Die Gebühr für das Verfahren im Allgemeinen und die Gebühr für eine Entscheidung oder die Vornahme einer Handlung werden in jedem Rechtszug hinsichtlich eines jeden Teils des Verfahrensgegenstands nur einmal erhoben.</w:t>
      </w:r>
    </w:p>
    <w:p>
      <w:r>
        <w:t xml:space="preserve">(2) Für Eintragungen in das Vereinsregister, Grundbuch, Schiffs- und Schiffsbauregister und in das Register für Pfandrechte an Luftfahrzeugen werden die Gebühren für jede Eintragung gesondert erhoben, soweit nichts anderes bestimmt ist.</w:t>
      </w:r>
    </w:p>
    <w:p>
      <w:r>
        <w:rPr>
          <w:color w:val="555555"/>
          <w:sz w:val="17"/>
        </w:rPr>
        <w:t xml:space="preserve">Zitiervorschlag: § 55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