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 GNotKG — Bestimmte schuldrechtliche Verpflichtungen</w:t>
      </w:r>
    </w:p>
    <w:p>
      <w:r>
        <w:rPr>
          <w:color w:val="555555"/>
          <w:sz w:val="18"/>
        </w:rPr>
        <w:t xml:space="preserve">Gerichts- und Notarkostengesetz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Wert beträgt bei einer schuldrechtlichen Verpflichtung</w:t>
      </w:r>
    </w:p>
    <w:p>
      <w:pPr>
        <w:ind w:left="420"/>
      </w:pPr>
      <w:r>
        <w:t xml:space="preserve">1. über eine Sache oder ein Recht nicht oder nur eingeschränkt zu verfügen, 10 Prozent des Verkehrswerts der Sache oder des Werts des Rechts;</w:t>
      </w:r>
    </w:p>
    <w:p>
      <w:pPr>
        <w:ind w:left="420"/>
      </w:pPr>
      <w:r>
        <w:t xml:space="preserve">2. zur eingeschränkten Nutzung einer Sache 20 Prozent des Verkehrswerts der Sache;</w:t>
      </w:r>
    </w:p>
    <w:p>
      <w:pPr>
        <w:ind w:left="420"/>
      </w:pPr>
      <w:r>
        <w:t xml:space="preserve">3. zur Errichtung eines Bauwerks, wenn es sich um</w:t>
      </w:r>
    </w:p>
    <w:p>
      <w:pPr>
        <w:ind w:left="780"/>
      </w:pPr>
      <w:r>
        <w:t xml:space="preserve">a) ein Wohngebäude handelt, 20 Prozent des Verkehrswerts des unbebauten Grundstücks,</w:t>
      </w:r>
    </w:p>
    <w:p>
      <w:pPr>
        <w:ind w:left="780"/>
      </w:pPr>
      <w:r>
        <w:t xml:space="preserve">b) ein gewerblich genutztes Bauwerk handelt, 20 Prozent der voraussichtlichen Herstellungskosten;</w:t>
      </w:r>
    </w:p>
    <w:p>
      <w:pPr>
        <w:ind w:left="420"/>
      </w:pPr>
      <w:r>
        <w:t xml:space="preserve">4. zu Investitionen 20 Prozent der Investitionssumme.</w:t>
      </w:r>
    </w:p>
    <w:p>
      <w:r>
        <w:rPr>
          <w:color w:val="555555"/>
          <w:sz w:val="17"/>
        </w:rPr>
        <w:t xml:space="preserve">Zitiervorschlag: § 50 GNotKG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https://recht.nulegal.eu/gesetze/GNotKG/50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